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142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Superintendencia de Comunicaciones.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85300"/>
                          <a:ext cx="6068695" cy="408379"/>
                          <a:chOff x="2311650" y="3585300"/>
                          <a:chExt cx="6068700" cy="389400"/>
                        </a:xfrm>
                      </wpg:grpSpPr>
                      <wpg:grpSp>
                        <wpg:cNvGrpSpPr/>
                        <wpg:grpSpPr>
                          <a:xfrm>
                            <a:off x="2311655" y="3585322"/>
                            <a:ext cx="6068690" cy="389357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3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gestión administrativa en normas jurídicas y patrimonial.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408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142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Esta capacitación pretende abordar temas específicos de las actas policiales, en cuanto a su redacción y aspectos formales, pero también se hace imprescindible que los participantes conozcan aquellos aspectos sustanciales de las distintas intervenciones policiales, porque estas exigencias del procedimiento tienen que cumplirse y luego volcarse a las actas para no invalidar todo lo actuado, distinguir e interpretar situaciones como cacheo, revisión y requisa que pueden aparecer conceptualmente como situaciones análogas, tienen exigencias y fundamentos jurídicos distintos. En este espacio curricular, se aportarán los contenidos pertinentes para que el personal policial construya competencias conceptuales, teóricas y metodológicas, que le permitan el ejercicio pleno de las prácticas relacionadas a gestiones administrativas en recursos patrimoniales y normas jurídicas. De este modo se promoverán instancias para que el estudiante pueda apropiarse de los sentidos curriculares y de las estrategias didácticas que potencien su labor cotidiana y su reflexión crítica permanente.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spacing w:line="360" w:lineRule="auto"/>
        <w:ind w:left="14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propuesta está orientada a todo personal policial perteneciente a la Superintendencia de Comunicaciones sin distinción de jerarquía y escalafón.</w:t>
      </w:r>
    </w:p>
    <w:p w:rsidR="00000000" w:rsidDel="00000000" w:rsidP="00000000" w:rsidRDefault="00000000" w:rsidRPr="00000000" w14:paraId="00000008">
      <w:pPr>
        <w:spacing w:line="360" w:lineRule="auto"/>
        <w:ind w:left="14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A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26 horas reloj.</w:t>
      </w:r>
    </w:p>
    <w:p w:rsidR="00000000" w:rsidDel="00000000" w:rsidP="00000000" w:rsidRDefault="00000000" w:rsidRPr="00000000" w14:paraId="0000000C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 ediciones.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142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Fecha de inicio y finalización: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1º edición: del 22 de abril al 5 de junio de 2025. 2º edición: del 2 de septiembre al 14 de octubre de 2025.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25 por edición.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capacitacionanual2023@gmail.com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Teléfono: 0221-4293000 interno: 73374.</w:t>
      </w:r>
    </w:p>
    <w:sectPr>
      <w:pgSz w:h="16840" w:w="11910" w:orient="portrait"/>
      <w:pgMar w:bottom="1418" w:top="1418" w:left="1418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566.9291338582675" w:hanging="359.99999999999994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1D65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D65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apacitacionanual202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uZK+juFPAE8lp2RwhtJOblmmyA==">CgMxLjA4AHIhMVhMajVuOWxpZXM2UkVFZkxsYTR3ZDEyMDZvbGlIU0xE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2025-05-08T04:44:00Z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